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A9" w:rsidRDefault="00CD44A9" w:rsidP="00CD44A9">
      <w:pPr>
        <w:pStyle w:val="Heading2"/>
        <w:shd w:val="clear" w:color="auto" w:fill="FFFFFF"/>
        <w:spacing w:after="300" w:afterAutospacing="0"/>
        <w:ind w:left="-24"/>
        <w:rPr>
          <w:rFonts w:ascii="Arial" w:hAnsi="Arial" w:cs="Arial"/>
          <w:color w:val="000000"/>
          <w:spacing w:val="-3"/>
          <w:sz w:val="39"/>
          <w:szCs w:val="39"/>
        </w:rPr>
      </w:pPr>
      <w:r>
        <w:rPr>
          <w:rFonts w:ascii="Arial" w:hAnsi="Arial" w:cs="Arial"/>
          <w:color w:val="000000"/>
          <w:spacing w:val="-3"/>
          <w:sz w:val="39"/>
          <w:szCs w:val="39"/>
        </w:rPr>
        <w:t>Adjustment and Revaluation of Assets</w:t>
      </w:r>
    </w:p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spacing w:val="-3"/>
          <w:sz w:val="33"/>
          <w:szCs w:val="33"/>
        </w:rPr>
        <w:t>At the time of admission of a new partner, the assets are re-valued and liabilities are reassessed. The assets are re-valued and liabilities are reassessed so that:</w:t>
      </w:r>
    </w:p>
    <w:p w:rsidR="00CD44A9" w:rsidRDefault="00CD44A9" w:rsidP="00CD44A9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color w:val="0B0B0B"/>
          <w:spacing w:val="-1"/>
          <w:sz w:val="32"/>
          <w:szCs w:val="32"/>
        </w:rPr>
      </w:pPr>
      <w:r>
        <w:rPr>
          <w:color w:val="0B0B0B"/>
          <w:spacing w:val="-1"/>
          <w:sz w:val="32"/>
          <w:szCs w:val="32"/>
        </w:rPr>
        <w:t>The assets are overstated or understated are revalued.</w:t>
      </w:r>
    </w:p>
    <w:p w:rsidR="00CD44A9" w:rsidRDefault="00CD44A9" w:rsidP="00CD44A9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color w:val="0B0B0B"/>
          <w:spacing w:val="-1"/>
          <w:sz w:val="32"/>
          <w:szCs w:val="32"/>
        </w:rPr>
      </w:pPr>
      <w:r>
        <w:rPr>
          <w:color w:val="0B0B0B"/>
          <w:spacing w:val="-1"/>
          <w:sz w:val="32"/>
          <w:szCs w:val="32"/>
        </w:rPr>
        <w:t>The liabilities are brought in the books at their correct values</w:t>
      </w:r>
    </w:p>
    <w:p w:rsidR="00CD44A9" w:rsidRDefault="00CD44A9" w:rsidP="00CD44A9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color w:val="0B0B0B"/>
          <w:spacing w:val="-1"/>
          <w:sz w:val="32"/>
          <w:szCs w:val="32"/>
        </w:rPr>
      </w:pPr>
      <w:r>
        <w:rPr>
          <w:color w:val="0B0B0B"/>
          <w:spacing w:val="-1"/>
          <w:sz w:val="32"/>
          <w:szCs w:val="32"/>
        </w:rPr>
        <w:t>Unrecorded assets and liabilities of the firm are brought into the books of the firm</w:t>
      </w:r>
    </w:p>
    <w:p w:rsidR="00CD44A9" w:rsidRDefault="00CD44A9" w:rsidP="00CD44A9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color w:val="0B0B0B"/>
          <w:spacing w:val="-1"/>
          <w:sz w:val="32"/>
          <w:szCs w:val="32"/>
        </w:rPr>
      </w:pPr>
      <w:r>
        <w:rPr>
          <w:color w:val="0B0B0B"/>
          <w:spacing w:val="-1"/>
          <w:sz w:val="32"/>
          <w:szCs w:val="32"/>
        </w:rPr>
        <w:t>The actual position of the firm is calculated.</w:t>
      </w:r>
    </w:p>
    <w:p w:rsidR="00CD44A9" w:rsidRDefault="00CD44A9" w:rsidP="00CD44A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color w:val="0B0B0B"/>
          <w:spacing w:val="-1"/>
          <w:sz w:val="32"/>
          <w:szCs w:val="32"/>
        </w:rPr>
      </w:pPr>
      <w:r>
        <w:rPr>
          <w:color w:val="0B0B0B"/>
          <w:spacing w:val="-1"/>
          <w:sz w:val="32"/>
          <w:szCs w:val="32"/>
        </w:rPr>
        <w:t>Profit and loss arriving on account of such revaluation up to the date of admission of a new partner may be adjusted in the partner’s capital accounts in their old profit sharing ratio.</w:t>
      </w:r>
    </w:p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jc w:val="center"/>
        <w:rPr>
          <w:spacing w:val="-3"/>
          <w:sz w:val="33"/>
          <w:szCs w:val="33"/>
        </w:rPr>
      </w:pPr>
      <w:r>
        <w:rPr>
          <w:rStyle w:val="Emphasis"/>
          <w:spacing w:val="-3"/>
          <w:sz w:val="33"/>
          <w:szCs w:val="33"/>
        </w:rPr>
        <w:t>Learn more about </w:t>
      </w:r>
      <w:hyperlink r:id="rId5" w:tgtFrame="_blank" w:history="1">
        <w:proofErr w:type="gramStart"/>
        <w:r>
          <w:rPr>
            <w:rStyle w:val="Hyperlink"/>
            <w:i/>
            <w:iCs/>
            <w:color w:val="55BBEA"/>
            <w:spacing w:val="-3"/>
            <w:sz w:val="33"/>
            <w:szCs w:val="33"/>
            <w:bdr w:val="none" w:sz="0" w:space="0" w:color="auto" w:frame="1"/>
          </w:rPr>
          <w:t>Financial</w:t>
        </w:r>
        <w:proofErr w:type="gramEnd"/>
        <w:r>
          <w:rPr>
            <w:rStyle w:val="Hyperlink"/>
            <w:i/>
            <w:iCs/>
            <w:color w:val="55BBEA"/>
            <w:spacing w:val="-3"/>
            <w:sz w:val="33"/>
            <w:szCs w:val="33"/>
            <w:bdr w:val="none" w:sz="0" w:space="0" w:color="auto" w:frame="1"/>
          </w:rPr>
          <w:t xml:space="preserve"> statement here</w:t>
        </w:r>
      </w:hyperlink>
      <w:r>
        <w:rPr>
          <w:rStyle w:val="Emphasis"/>
          <w:spacing w:val="-3"/>
          <w:sz w:val="33"/>
          <w:szCs w:val="33"/>
        </w:rPr>
        <w:t> in detail</w:t>
      </w:r>
    </w:p>
    <w:p w:rsidR="00CD44A9" w:rsidRDefault="00CD44A9" w:rsidP="00CD44A9">
      <w:pPr>
        <w:pStyle w:val="Heading2"/>
        <w:shd w:val="clear" w:color="auto" w:fill="FFFFFF"/>
        <w:spacing w:after="300" w:afterAutospacing="0"/>
        <w:ind w:left="-24"/>
        <w:rPr>
          <w:rFonts w:ascii="Arial" w:hAnsi="Arial" w:cs="Arial"/>
          <w:color w:val="000000"/>
          <w:spacing w:val="-3"/>
          <w:sz w:val="39"/>
          <w:szCs w:val="39"/>
        </w:rPr>
      </w:pPr>
      <w:r>
        <w:rPr>
          <w:rFonts w:ascii="Arial" w:hAnsi="Arial" w:cs="Arial"/>
          <w:color w:val="000000"/>
          <w:spacing w:val="-3"/>
          <w:sz w:val="39"/>
          <w:szCs w:val="39"/>
        </w:rPr>
        <w:t>Revaluation Account</w:t>
      </w:r>
    </w:p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noProof/>
          <w:spacing w:val="-3"/>
          <w:sz w:val="33"/>
          <w:szCs w:val="33"/>
        </w:rPr>
        <w:drawing>
          <wp:inline distT="0" distB="0" distL="0" distR="0">
            <wp:extent cx="2857500" cy="1905000"/>
            <wp:effectExtent l="19050" t="0" r="0" b="0"/>
            <wp:docPr id="1" name="Picture 1" descr="Reval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aluat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spacing w:val="-3"/>
          <w:sz w:val="33"/>
          <w:szCs w:val="33"/>
        </w:rPr>
        <w:t>For this purpose, the firm has to prepare the Revaluation Account. In this account:</w:t>
      </w:r>
    </w:p>
    <w:p w:rsidR="00CD44A9" w:rsidRDefault="00CD44A9" w:rsidP="00CD44A9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ind w:left="450"/>
        <w:rPr>
          <w:color w:val="0B0B0B"/>
          <w:spacing w:val="-1"/>
          <w:sz w:val="32"/>
          <w:szCs w:val="32"/>
        </w:rPr>
      </w:pPr>
      <w:r>
        <w:rPr>
          <w:color w:val="0B0B0B"/>
          <w:spacing w:val="-1"/>
          <w:sz w:val="32"/>
          <w:szCs w:val="32"/>
        </w:rPr>
        <w:lastRenderedPageBreak/>
        <w:t>An increase in the assets and decrease in its liabilities is credited because it is gain,</w:t>
      </w:r>
    </w:p>
    <w:p w:rsidR="00CD44A9" w:rsidRDefault="00CD44A9" w:rsidP="00CD44A9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ind w:left="450"/>
        <w:rPr>
          <w:color w:val="0B0B0B"/>
          <w:spacing w:val="-1"/>
          <w:sz w:val="32"/>
          <w:szCs w:val="32"/>
        </w:rPr>
      </w:pPr>
      <w:r>
        <w:rPr>
          <w:color w:val="0B0B0B"/>
          <w:spacing w:val="-1"/>
          <w:sz w:val="32"/>
          <w:szCs w:val="32"/>
        </w:rPr>
        <w:t>A decrease in the value of assets and increase in its liabilities is debited because it is a loss,</w:t>
      </w:r>
    </w:p>
    <w:p w:rsidR="00CD44A9" w:rsidRDefault="00CD44A9" w:rsidP="00CD44A9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ind w:left="450"/>
        <w:rPr>
          <w:color w:val="0B0B0B"/>
          <w:spacing w:val="-1"/>
          <w:sz w:val="32"/>
          <w:szCs w:val="32"/>
        </w:rPr>
      </w:pPr>
      <w:r>
        <w:rPr>
          <w:color w:val="0B0B0B"/>
          <w:spacing w:val="-1"/>
          <w:sz w:val="32"/>
          <w:szCs w:val="32"/>
        </w:rPr>
        <w:t>Unrecorded assets are credited, and</w:t>
      </w:r>
    </w:p>
    <w:p w:rsidR="00CD44A9" w:rsidRDefault="00CD44A9" w:rsidP="00CD44A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rPr>
          <w:color w:val="0B0B0B"/>
          <w:spacing w:val="-1"/>
          <w:sz w:val="32"/>
          <w:szCs w:val="32"/>
        </w:rPr>
      </w:pPr>
      <w:r>
        <w:rPr>
          <w:color w:val="0B0B0B"/>
          <w:spacing w:val="-1"/>
          <w:sz w:val="32"/>
          <w:szCs w:val="32"/>
        </w:rPr>
        <w:t>Unrecorded liabilities are debited.</w:t>
      </w:r>
    </w:p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spacing w:val="-3"/>
          <w:sz w:val="33"/>
          <w:szCs w:val="33"/>
        </w:rPr>
        <w:t>If the account finally shows a credit balance then it indicates net gain and if there is a debit balance then it indicates the net loss. Profit or loss will be transferred to the capital accounts of the old partners in old ratio.</w:t>
      </w:r>
    </w:p>
    <w:p w:rsidR="00CD44A9" w:rsidRDefault="00CD44A9" w:rsidP="00CD44A9">
      <w:pPr>
        <w:pStyle w:val="Heading3"/>
        <w:shd w:val="clear" w:color="auto" w:fill="FFFFFF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Strong"/>
          <w:rFonts w:ascii="Arial" w:hAnsi="Arial" w:cs="Arial"/>
          <w:b/>
          <w:bCs/>
          <w:color w:val="000000"/>
          <w:sz w:val="30"/>
          <w:szCs w:val="30"/>
        </w:rPr>
        <w:t>Journal Entries</w:t>
      </w:r>
    </w:p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spacing w:val="-3"/>
          <w:sz w:val="33"/>
          <w:szCs w:val="33"/>
        </w:rPr>
        <w:t>The</w:t>
      </w:r>
      <w:hyperlink r:id="rId7" w:tgtFrame="_blank" w:history="1">
        <w:r>
          <w:rPr>
            <w:rStyle w:val="Hyperlink"/>
            <w:color w:val="55BBEA"/>
            <w:spacing w:val="-3"/>
            <w:sz w:val="33"/>
            <w:szCs w:val="33"/>
            <w:bdr w:val="none" w:sz="0" w:space="0" w:color="auto" w:frame="1"/>
          </w:rPr>
          <w:t> journal entries</w:t>
        </w:r>
      </w:hyperlink>
      <w:r>
        <w:rPr>
          <w:spacing w:val="-3"/>
          <w:sz w:val="33"/>
          <w:szCs w:val="33"/>
        </w:rPr>
        <w:t> recorded for revaluation of assets and reassessment of liabilities are as follows:</w:t>
      </w:r>
    </w:p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rStyle w:val="Emphasis"/>
          <w:spacing w:val="-3"/>
          <w:sz w:val="33"/>
          <w:szCs w:val="33"/>
        </w:rPr>
        <w:t>For an increase in the value of an asset: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0"/>
        <w:gridCol w:w="765"/>
      </w:tblGrid>
      <w:tr w:rsidR="00CD44A9" w:rsidTr="00CD44A9">
        <w:trPr>
          <w:tblCellSpacing w:w="15" w:type="dxa"/>
        </w:trPr>
        <w:tc>
          <w:tcPr>
            <w:tcW w:w="35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Asset A/c</w:t>
            </w:r>
          </w:p>
        </w:tc>
        <w:tc>
          <w:tcPr>
            <w:tcW w:w="7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</w:tr>
      <w:tr w:rsidR="00CD44A9" w:rsidTr="00CD44A9">
        <w:trPr>
          <w:tblCellSpacing w:w="15" w:type="dxa"/>
        </w:trPr>
        <w:tc>
          <w:tcPr>
            <w:tcW w:w="35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To Revaluation a/c</w:t>
            </w:r>
          </w:p>
        </w:tc>
        <w:tc>
          <w:tcPr>
            <w:tcW w:w="7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 </w:t>
            </w:r>
          </w:p>
        </w:tc>
      </w:tr>
    </w:tbl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rStyle w:val="Emphasis"/>
          <w:spacing w:val="-3"/>
          <w:sz w:val="33"/>
          <w:szCs w:val="33"/>
        </w:rPr>
        <w:t>For a decrease in the value of a liability: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0"/>
        <w:gridCol w:w="765"/>
      </w:tblGrid>
      <w:tr w:rsidR="00CD44A9" w:rsidTr="00CD44A9">
        <w:trPr>
          <w:tblCellSpacing w:w="15" w:type="dxa"/>
        </w:trPr>
        <w:tc>
          <w:tcPr>
            <w:tcW w:w="35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Liability A/c</w:t>
            </w:r>
          </w:p>
        </w:tc>
        <w:tc>
          <w:tcPr>
            <w:tcW w:w="7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</w:tr>
      <w:tr w:rsidR="00CD44A9" w:rsidTr="00CD44A9">
        <w:trPr>
          <w:tblCellSpacing w:w="15" w:type="dxa"/>
        </w:trPr>
        <w:tc>
          <w:tcPr>
            <w:tcW w:w="35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To Revaluation a/c</w:t>
            </w:r>
          </w:p>
        </w:tc>
        <w:tc>
          <w:tcPr>
            <w:tcW w:w="7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 </w:t>
            </w:r>
          </w:p>
        </w:tc>
      </w:tr>
    </w:tbl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rStyle w:val="Emphasis"/>
          <w:spacing w:val="-3"/>
          <w:sz w:val="33"/>
          <w:szCs w:val="33"/>
        </w:rPr>
        <w:t>For a decrease in the value of an asset: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0"/>
        <w:gridCol w:w="765"/>
      </w:tblGrid>
      <w:tr w:rsidR="00CD44A9" w:rsidTr="00CD44A9">
        <w:trPr>
          <w:tblCellSpacing w:w="15" w:type="dxa"/>
        </w:trPr>
        <w:tc>
          <w:tcPr>
            <w:tcW w:w="35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Revaluation A/c</w:t>
            </w:r>
          </w:p>
        </w:tc>
        <w:tc>
          <w:tcPr>
            <w:tcW w:w="7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</w:tr>
      <w:tr w:rsidR="00CD44A9" w:rsidTr="00CD44A9">
        <w:trPr>
          <w:tblCellSpacing w:w="15" w:type="dxa"/>
        </w:trPr>
        <w:tc>
          <w:tcPr>
            <w:tcW w:w="35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To Asset a/c</w:t>
            </w:r>
          </w:p>
        </w:tc>
        <w:tc>
          <w:tcPr>
            <w:tcW w:w="7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 </w:t>
            </w:r>
          </w:p>
        </w:tc>
      </w:tr>
    </w:tbl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rStyle w:val="Emphasis"/>
          <w:spacing w:val="-3"/>
          <w:sz w:val="33"/>
          <w:szCs w:val="33"/>
        </w:rPr>
        <w:t> For an increase in the value of a liability: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0"/>
        <w:gridCol w:w="765"/>
      </w:tblGrid>
      <w:tr w:rsidR="00CD44A9" w:rsidTr="00CD44A9">
        <w:trPr>
          <w:tblCellSpacing w:w="15" w:type="dxa"/>
        </w:trPr>
        <w:tc>
          <w:tcPr>
            <w:tcW w:w="35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Revaluation A/c</w:t>
            </w:r>
          </w:p>
        </w:tc>
        <w:tc>
          <w:tcPr>
            <w:tcW w:w="7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</w:tr>
      <w:tr w:rsidR="00CD44A9" w:rsidTr="00CD44A9">
        <w:trPr>
          <w:tblCellSpacing w:w="15" w:type="dxa"/>
        </w:trPr>
        <w:tc>
          <w:tcPr>
            <w:tcW w:w="35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To  Liability a/c</w:t>
            </w:r>
          </w:p>
        </w:tc>
        <w:tc>
          <w:tcPr>
            <w:tcW w:w="7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 </w:t>
            </w:r>
          </w:p>
        </w:tc>
      </w:tr>
    </w:tbl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rStyle w:val="Strong"/>
          <w:spacing w:val="-3"/>
          <w:sz w:val="33"/>
          <w:szCs w:val="33"/>
        </w:rPr>
        <w:t>  </w:t>
      </w:r>
      <w:r>
        <w:rPr>
          <w:rStyle w:val="Emphasis"/>
          <w:spacing w:val="-3"/>
          <w:sz w:val="33"/>
          <w:szCs w:val="33"/>
        </w:rPr>
        <w:t>For an unrecorded asset: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0"/>
        <w:gridCol w:w="765"/>
      </w:tblGrid>
      <w:tr w:rsidR="00CD44A9" w:rsidTr="00CD44A9">
        <w:trPr>
          <w:tblCellSpacing w:w="15" w:type="dxa"/>
        </w:trPr>
        <w:tc>
          <w:tcPr>
            <w:tcW w:w="35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Asset A/c</w:t>
            </w:r>
          </w:p>
        </w:tc>
        <w:tc>
          <w:tcPr>
            <w:tcW w:w="7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</w:tr>
      <w:tr w:rsidR="00CD44A9" w:rsidTr="00CD44A9">
        <w:trPr>
          <w:tblCellSpacing w:w="15" w:type="dxa"/>
        </w:trPr>
        <w:tc>
          <w:tcPr>
            <w:tcW w:w="35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To  Unrecorded asset a/c</w:t>
            </w:r>
          </w:p>
        </w:tc>
        <w:tc>
          <w:tcPr>
            <w:tcW w:w="7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 </w:t>
            </w:r>
          </w:p>
        </w:tc>
      </w:tr>
    </w:tbl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rStyle w:val="Emphasis"/>
          <w:spacing w:val="-3"/>
          <w:sz w:val="33"/>
          <w:szCs w:val="33"/>
        </w:rPr>
        <w:t>For an unrecorded liability: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0"/>
        <w:gridCol w:w="765"/>
      </w:tblGrid>
      <w:tr w:rsidR="00CD44A9" w:rsidTr="00CD44A9">
        <w:trPr>
          <w:tblCellSpacing w:w="15" w:type="dxa"/>
        </w:trPr>
        <w:tc>
          <w:tcPr>
            <w:tcW w:w="35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Revaluation A/c</w:t>
            </w:r>
          </w:p>
        </w:tc>
        <w:tc>
          <w:tcPr>
            <w:tcW w:w="7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</w:tr>
      <w:tr w:rsidR="00CD44A9" w:rsidTr="00CD44A9">
        <w:trPr>
          <w:tblCellSpacing w:w="15" w:type="dxa"/>
        </w:trPr>
        <w:tc>
          <w:tcPr>
            <w:tcW w:w="35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To  Unrecorded Liability a/c</w:t>
            </w:r>
          </w:p>
        </w:tc>
        <w:tc>
          <w:tcPr>
            <w:tcW w:w="7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 </w:t>
            </w:r>
          </w:p>
        </w:tc>
      </w:tr>
    </w:tbl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rStyle w:val="Emphasis"/>
          <w:spacing w:val="-3"/>
          <w:sz w:val="33"/>
          <w:szCs w:val="33"/>
        </w:rPr>
        <w:t>The profit on revaluations will be transferred to old partners’ capital accounts in the old profit sharing ratio: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0"/>
        <w:gridCol w:w="765"/>
      </w:tblGrid>
      <w:tr w:rsidR="00CD44A9" w:rsidTr="00CD44A9">
        <w:trPr>
          <w:tblCellSpacing w:w="15" w:type="dxa"/>
        </w:trPr>
        <w:tc>
          <w:tcPr>
            <w:tcW w:w="35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Revaluation A/c</w:t>
            </w:r>
          </w:p>
        </w:tc>
        <w:tc>
          <w:tcPr>
            <w:tcW w:w="7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</w:tr>
      <w:tr w:rsidR="00CD44A9" w:rsidTr="00CD44A9">
        <w:trPr>
          <w:tblCellSpacing w:w="15" w:type="dxa"/>
        </w:trPr>
        <w:tc>
          <w:tcPr>
            <w:tcW w:w="35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To  Old partners Capital a/c’s</w:t>
            </w:r>
          </w:p>
        </w:tc>
        <w:tc>
          <w:tcPr>
            <w:tcW w:w="7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 </w:t>
            </w:r>
          </w:p>
        </w:tc>
      </w:tr>
    </w:tbl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rStyle w:val="Emphasis"/>
          <w:spacing w:val="-3"/>
          <w:sz w:val="33"/>
          <w:szCs w:val="33"/>
        </w:rPr>
        <w:t>The loss on revaluations will be transferred to old partners’ capital accounts in the old profit sharing ratio: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0"/>
        <w:gridCol w:w="765"/>
      </w:tblGrid>
      <w:tr w:rsidR="00CD44A9" w:rsidTr="00CD44A9">
        <w:trPr>
          <w:tblCellSpacing w:w="15" w:type="dxa"/>
        </w:trPr>
        <w:tc>
          <w:tcPr>
            <w:tcW w:w="35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Old partners Capital a/c’s</w:t>
            </w:r>
          </w:p>
        </w:tc>
        <w:tc>
          <w:tcPr>
            <w:tcW w:w="7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</w:tr>
      <w:tr w:rsidR="00CD44A9" w:rsidTr="00CD44A9">
        <w:trPr>
          <w:tblCellSpacing w:w="15" w:type="dxa"/>
        </w:trPr>
        <w:tc>
          <w:tcPr>
            <w:tcW w:w="35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To  Revaluation A/c</w:t>
            </w:r>
          </w:p>
        </w:tc>
        <w:tc>
          <w:tcPr>
            <w:tcW w:w="7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 </w:t>
            </w:r>
          </w:p>
        </w:tc>
      </w:tr>
    </w:tbl>
    <w:p w:rsidR="00CD44A9" w:rsidRDefault="00CD44A9" w:rsidP="00CD44A9">
      <w:pPr>
        <w:pStyle w:val="Heading2"/>
        <w:shd w:val="clear" w:color="auto" w:fill="FFFFFF"/>
        <w:spacing w:after="300" w:afterAutospacing="0"/>
        <w:ind w:left="-24"/>
        <w:rPr>
          <w:rFonts w:ascii="Arial" w:hAnsi="Arial" w:cs="Arial"/>
          <w:color w:val="000000"/>
          <w:spacing w:val="-3"/>
          <w:sz w:val="39"/>
          <w:szCs w:val="39"/>
        </w:rPr>
      </w:pPr>
      <w:r>
        <w:rPr>
          <w:rFonts w:ascii="Arial" w:hAnsi="Arial" w:cs="Arial"/>
          <w:color w:val="000000"/>
          <w:spacing w:val="-3"/>
          <w:sz w:val="39"/>
          <w:szCs w:val="39"/>
        </w:rPr>
        <w:t>Solved Example for You</w:t>
      </w:r>
    </w:p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spacing w:val="-3"/>
          <w:sz w:val="33"/>
          <w:szCs w:val="33"/>
        </w:rPr>
        <w:t xml:space="preserve">Q: Following is the Balance Sheet of </w:t>
      </w:r>
      <w:proofErr w:type="spellStart"/>
      <w:r>
        <w:rPr>
          <w:spacing w:val="-3"/>
          <w:sz w:val="33"/>
          <w:szCs w:val="33"/>
        </w:rPr>
        <w:t>Suhani</w:t>
      </w:r>
      <w:proofErr w:type="spellEnd"/>
      <w:r>
        <w:rPr>
          <w:spacing w:val="-3"/>
          <w:sz w:val="33"/>
          <w:szCs w:val="33"/>
        </w:rPr>
        <w:t xml:space="preserve"> and Sonia who share profits in the ratio of 3:2.</w:t>
      </w:r>
    </w:p>
    <w:p w:rsidR="00CD44A9" w:rsidRDefault="00CD44A9" w:rsidP="00CD44A9">
      <w:pPr>
        <w:pStyle w:val="Heading4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Balance Sheet of A and B as on April 1, 2018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0"/>
        <w:gridCol w:w="2010"/>
        <w:gridCol w:w="3000"/>
        <w:gridCol w:w="1770"/>
      </w:tblGrid>
      <w:tr w:rsidR="00CD44A9" w:rsidTr="00CD44A9">
        <w:trPr>
          <w:tblCellSpacing w:w="15" w:type="dxa"/>
        </w:trPr>
        <w:tc>
          <w:tcPr>
            <w:tcW w:w="289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lastRenderedPageBreak/>
              <w:t>Liabilities</w:t>
            </w:r>
          </w:p>
        </w:tc>
        <w:tc>
          <w:tcPr>
            <w:tcW w:w="19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Amount</w:t>
            </w:r>
          </w:p>
        </w:tc>
        <w:tc>
          <w:tcPr>
            <w:tcW w:w="297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Assets</w:t>
            </w:r>
          </w:p>
        </w:tc>
        <w:tc>
          <w:tcPr>
            <w:tcW w:w="17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Amount</w:t>
            </w:r>
          </w:p>
        </w:tc>
      </w:tr>
      <w:tr w:rsidR="00CD44A9" w:rsidTr="00CD44A9">
        <w:trPr>
          <w:tblCellSpacing w:w="15" w:type="dxa"/>
        </w:trPr>
        <w:tc>
          <w:tcPr>
            <w:tcW w:w="289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Capital:</w:t>
            </w:r>
          </w:p>
        </w:tc>
        <w:tc>
          <w:tcPr>
            <w:tcW w:w="19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 Plant &amp; machinery</w:t>
            </w:r>
          </w:p>
        </w:tc>
        <w:tc>
          <w:tcPr>
            <w:tcW w:w="17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30000</w:t>
            </w:r>
          </w:p>
        </w:tc>
      </w:tr>
      <w:tr w:rsidR="00CD44A9" w:rsidTr="00CD44A9">
        <w:trPr>
          <w:tblCellSpacing w:w="15" w:type="dxa"/>
        </w:trPr>
        <w:tc>
          <w:tcPr>
            <w:tcW w:w="289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B0B0B"/>
                <w:sz w:val="20"/>
                <w:szCs w:val="20"/>
              </w:rPr>
              <w:t>Suhani</w:t>
            </w:r>
            <w:proofErr w:type="spellEnd"/>
          </w:p>
        </w:tc>
        <w:tc>
          <w:tcPr>
            <w:tcW w:w="19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30000</w:t>
            </w:r>
          </w:p>
        </w:tc>
        <w:tc>
          <w:tcPr>
            <w:tcW w:w="297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Furniture</w:t>
            </w:r>
          </w:p>
        </w:tc>
        <w:tc>
          <w:tcPr>
            <w:tcW w:w="17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20000</w:t>
            </w:r>
          </w:p>
        </w:tc>
      </w:tr>
      <w:tr w:rsidR="00CD44A9" w:rsidTr="00CD44A9">
        <w:trPr>
          <w:tblCellSpacing w:w="15" w:type="dxa"/>
        </w:trPr>
        <w:tc>
          <w:tcPr>
            <w:tcW w:w="289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Sonia</w:t>
            </w:r>
          </w:p>
        </w:tc>
        <w:tc>
          <w:tcPr>
            <w:tcW w:w="19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20000</w:t>
            </w:r>
          </w:p>
        </w:tc>
        <w:tc>
          <w:tcPr>
            <w:tcW w:w="297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Sundry Debtors</w:t>
            </w:r>
          </w:p>
        </w:tc>
        <w:tc>
          <w:tcPr>
            <w:tcW w:w="17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20000</w:t>
            </w:r>
          </w:p>
        </w:tc>
      </w:tr>
      <w:tr w:rsidR="00CD44A9" w:rsidTr="00CD44A9">
        <w:trPr>
          <w:tblCellSpacing w:w="15" w:type="dxa"/>
        </w:trPr>
        <w:tc>
          <w:tcPr>
            <w:tcW w:w="289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Sundry Creditors</w:t>
            </w:r>
          </w:p>
        </w:tc>
        <w:tc>
          <w:tcPr>
            <w:tcW w:w="19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50000</w:t>
            </w:r>
          </w:p>
        </w:tc>
        <w:tc>
          <w:tcPr>
            <w:tcW w:w="297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Stock</w:t>
            </w:r>
          </w:p>
        </w:tc>
        <w:tc>
          <w:tcPr>
            <w:tcW w:w="17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20000</w:t>
            </w:r>
          </w:p>
        </w:tc>
      </w:tr>
      <w:tr w:rsidR="00CD44A9" w:rsidTr="00CD44A9">
        <w:trPr>
          <w:tblCellSpacing w:w="15" w:type="dxa"/>
        </w:trPr>
        <w:tc>
          <w:tcPr>
            <w:tcW w:w="289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Cash in hand</w:t>
            </w:r>
          </w:p>
        </w:tc>
        <w:tc>
          <w:tcPr>
            <w:tcW w:w="17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10000</w:t>
            </w:r>
          </w:p>
        </w:tc>
      </w:tr>
      <w:tr w:rsidR="00CD44A9" w:rsidTr="00CD44A9">
        <w:trPr>
          <w:tblCellSpacing w:w="15" w:type="dxa"/>
        </w:trPr>
        <w:tc>
          <w:tcPr>
            <w:tcW w:w="289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  <w:u w:val="single"/>
              </w:rPr>
              <w:t>100000</w:t>
            </w:r>
          </w:p>
        </w:tc>
        <w:tc>
          <w:tcPr>
            <w:tcW w:w="297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  <w:u w:val="single"/>
              </w:rPr>
              <w:t>100000</w:t>
            </w:r>
          </w:p>
        </w:tc>
      </w:tr>
    </w:tbl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spacing w:val="-3"/>
          <w:sz w:val="33"/>
          <w:szCs w:val="33"/>
        </w:rPr>
        <w:t xml:space="preserve">On that date </w:t>
      </w:r>
      <w:proofErr w:type="spellStart"/>
      <w:r>
        <w:rPr>
          <w:spacing w:val="-3"/>
          <w:sz w:val="33"/>
          <w:szCs w:val="33"/>
        </w:rPr>
        <w:t>Keshav</w:t>
      </w:r>
      <w:proofErr w:type="spellEnd"/>
      <w:r>
        <w:rPr>
          <w:spacing w:val="-3"/>
          <w:sz w:val="33"/>
          <w:szCs w:val="33"/>
        </w:rPr>
        <w:t xml:space="preserve"> is admitted into the partnership on the following terms:</w:t>
      </w:r>
    </w:p>
    <w:p w:rsidR="00CD44A9" w:rsidRDefault="00CD44A9" w:rsidP="00CD44A9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ind w:left="450"/>
        <w:rPr>
          <w:color w:val="0B0B0B"/>
          <w:spacing w:val="-1"/>
          <w:sz w:val="32"/>
          <w:szCs w:val="32"/>
        </w:rPr>
      </w:pPr>
      <w:proofErr w:type="spellStart"/>
      <w:r>
        <w:rPr>
          <w:color w:val="0B0B0B"/>
          <w:spacing w:val="-1"/>
          <w:sz w:val="32"/>
          <w:szCs w:val="32"/>
        </w:rPr>
        <w:t>Keshav</w:t>
      </w:r>
      <w:proofErr w:type="spellEnd"/>
      <w:r>
        <w:rPr>
          <w:color w:val="0B0B0B"/>
          <w:spacing w:val="-1"/>
          <w:sz w:val="32"/>
          <w:szCs w:val="32"/>
        </w:rPr>
        <w:t xml:space="preserve"> is to bring in Rs. 10,000 as capital and Rs. 5,000 as a premium for goodwill for 1/6 share.</w:t>
      </w:r>
    </w:p>
    <w:p w:rsidR="00CD44A9" w:rsidRDefault="00CD44A9" w:rsidP="00CD44A9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ind w:left="450"/>
        <w:rPr>
          <w:color w:val="0B0B0B"/>
          <w:spacing w:val="-1"/>
          <w:sz w:val="32"/>
          <w:szCs w:val="32"/>
        </w:rPr>
      </w:pPr>
      <w:r>
        <w:rPr>
          <w:color w:val="0B0B0B"/>
          <w:spacing w:val="-1"/>
          <w:sz w:val="32"/>
          <w:szCs w:val="32"/>
        </w:rPr>
        <w:t>The value of a stock is reduced by 10% while plant and machinery are appreciated by 10%.</w:t>
      </w:r>
    </w:p>
    <w:p w:rsidR="00CD44A9" w:rsidRDefault="00CD44A9" w:rsidP="00CD44A9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ind w:left="450"/>
        <w:rPr>
          <w:color w:val="0B0B0B"/>
          <w:spacing w:val="-1"/>
          <w:sz w:val="32"/>
          <w:szCs w:val="32"/>
        </w:rPr>
      </w:pPr>
      <w:r>
        <w:rPr>
          <w:color w:val="0B0B0B"/>
          <w:spacing w:val="-1"/>
          <w:sz w:val="32"/>
          <w:szCs w:val="32"/>
        </w:rPr>
        <w:t>Furniture is revalued at Rs. 15,000.</w:t>
      </w:r>
    </w:p>
    <w:p w:rsidR="00CD44A9" w:rsidRDefault="00CD44A9" w:rsidP="00CD44A9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ind w:left="450"/>
        <w:rPr>
          <w:color w:val="0B0B0B"/>
          <w:spacing w:val="-1"/>
          <w:sz w:val="32"/>
          <w:szCs w:val="32"/>
        </w:rPr>
      </w:pPr>
      <w:r>
        <w:rPr>
          <w:color w:val="0B0B0B"/>
          <w:spacing w:val="-1"/>
          <w:sz w:val="32"/>
          <w:szCs w:val="32"/>
        </w:rPr>
        <w:lastRenderedPageBreak/>
        <w:t>A provision for doubtful debts is to be created on sundry debtors at 5% and Rs. 1000 is to be provided for an electricity bill.</w:t>
      </w:r>
    </w:p>
    <w:p w:rsidR="00CD44A9" w:rsidRDefault="00CD44A9" w:rsidP="00CD44A9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ind w:left="450"/>
        <w:rPr>
          <w:color w:val="0B0B0B"/>
          <w:spacing w:val="-1"/>
          <w:sz w:val="32"/>
          <w:szCs w:val="32"/>
        </w:rPr>
      </w:pPr>
      <w:r>
        <w:rPr>
          <w:color w:val="0B0B0B"/>
          <w:spacing w:val="-1"/>
          <w:sz w:val="32"/>
          <w:szCs w:val="32"/>
        </w:rPr>
        <w:t>Investment worth Rs. 5,000 (not mentioned on the balance sheet) is to be taken into account</w:t>
      </w:r>
    </w:p>
    <w:p w:rsidR="00CD44A9" w:rsidRDefault="00CD44A9" w:rsidP="00CD44A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rPr>
          <w:color w:val="0B0B0B"/>
          <w:spacing w:val="-1"/>
          <w:sz w:val="32"/>
          <w:szCs w:val="32"/>
        </w:rPr>
      </w:pPr>
      <w:r>
        <w:rPr>
          <w:color w:val="0B0B0B"/>
          <w:spacing w:val="-1"/>
          <w:sz w:val="32"/>
          <w:szCs w:val="32"/>
        </w:rPr>
        <w:t>A creditor of Rs. 2000 is not likely to claim his money and is to be written off.</w:t>
      </w:r>
    </w:p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spacing w:val="-3"/>
          <w:sz w:val="33"/>
          <w:szCs w:val="33"/>
        </w:rPr>
        <w:t>Record journal entries and prepare revaluation account and capital account of partners.</w:t>
      </w:r>
    </w:p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spacing w:val="-3"/>
          <w:sz w:val="33"/>
          <w:szCs w:val="33"/>
        </w:rPr>
        <w:t>Solution:</w:t>
      </w:r>
    </w:p>
    <w:p w:rsidR="00CD44A9" w:rsidRDefault="00CD44A9" w:rsidP="00CD44A9">
      <w:pPr>
        <w:pStyle w:val="Heading4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Books of A, B, and C</w:t>
      </w:r>
    </w:p>
    <w:tbl>
      <w:tblPr>
        <w:tblW w:w="111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0"/>
        <w:gridCol w:w="4553"/>
        <w:gridCol w:w="753"/>
        <w:gridCol w:w="847"/>
        <w:gridCol w:w="1861"/>
        <w:gridCol w:w="1876"/>
      </w:tblGrid>
      <w:tr w:rsidR="00CD44A9" w:rsidTr="00CD44A9">
        <w:trPr>
          <w:trHeight w:val="898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Date</w:t>
            </w: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Particulars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L.F</w:t>
            </w: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Amount</w:t>
            </w: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Amount</w:t>
            </w:r>
          </w:p>
        </w:tc>
      </w:tr>
      <w:tr w:rsidR="00CD44A9" w:rsidTr="00CD44A9">
        <w:trPr>
          <w:trHeight w:val="360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April 01</w:t>
            </w: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Cash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15000</w:t>
            </w: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</w:tr>
      <w:tr w:rsidR="00CD44A9" w:rsidTr="00CD44A9">
        <w:trPr>
          <w:trHeight w:val="360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color w:val="0B0B0B"/>
                <w:sz w:val="20"/>
                <w:szCs w:val="20"/>
              </w:rPr>
              <w:t>Keshav’s</w:t>
            </w:r>
            <w:proofErr w:type="spellEnd"/>
            <w:r>
              <w:rPr>
                <w:rFonts w:ascii="Arial" w:hAnsi="Arial" w:cs="Arial"/>
                <w:color w:val="0B0B0B"/>
                <w:sz w:val="20"/>
                <w:szCs w:val="20"/>
              </w:rPr>
              <w:t xml:space="preserve"> Capital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10000</w:t>
            </w:r>
          </w:p>
        </w:tc>
      </w:tr>
      <w:tr w:rsidR="00CD44A9" w:rsidTr="00CD44A9">
        <w:trPr>
          <w:trHeight w:val="360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To Goodwill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5000</w:t>
            </w:r>
          </w:p>
        </w:tc>
      </w:tr>
      <w:tr w:rsidR="00CD44A9" w:rsidTr="00CD44A9">
        <w:trPr>
          <w:trHeight w:val="720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 xml:space="preserve">(Cash brought in by </w:t>
            </w:r>
            <w:proofErr w:type="spellStart"/>
            <w:r>
              <w:rPr>
                <w:rFonts w:ascii="Arial" w:hAnsi="Arial" w:cs="Arial"/>
                <w:color w:val="0B0B0B"/>
                <w:sz w:val="20"/>
                <w:szCs w:val="20"/>
              </w:rPr>
              <w:t>Keshav</w:t>
            </w:r>
            <w:proofErr w:type="spellEnd"/>
            <w:r>
              <w:rPr>
                <w:rFonts w:ascii="Arial" w:hAnsi="Arial" w:cs="Arial"/>
                <w:color w:val="0B0B0B"/>
                <w:sz w:val="20"/>
                <w:szCs w:val="20"/>
              </w:rPr>
              <w:t xml:space="preserve"> as capital and goodwill)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</w:tr>
      <w:tr w:rsidR="00CD44A9" w:rsidTr="00CD44A9">
        <w:trPr>
          <w:trHeight w:val="360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April 01</w:t>
            </w: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Goodwill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5000</w:t>
            </w: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</w:tr>
      <w:tr w:rsidR="00CD44A9" w:rsidTr="00CD44A9">
        <w:trPr>
          <w:trHeight w:val="600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color w:val="0B0B0B"/>
                <w:sz w:val="20"/>
                <w:szCs w:val="20"/>
              </w:rPr>
              <w:t>Suhani’s</w:t>
            </w:r>
            <w:proofErr w:type="spellEnd"/>
            <w:r>
              <w:rPr>
                <w:rFonts w:ascii="Arial" w:hAnsi="Arial" w:cs="Arial"/>
                <w:color w:val="0B0B0B"/>
                <w:sz w:val="20"/>
                <w:szCs w:val="20"/>
              </w:rPr>
              <w:t xml:space="preserve"> Capital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3000</w:t>
            </w:r>
          </w:p>
        </w:tc>
      </w:tr>
      <w:tr w:rsidR="00CD44A9" w:rsidTr="00CD44A9">
        <w:trPr>
          <w:trHeight w:val="780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To Sonia’s Capital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2000</w:t>
            </w:r>
          </w:p>
        </w:tc>
      </w:tr>
      <w:tr w:rsidR="00CD44A9" w:rsidTr="00CD44A9">
        <w:trPr>
          <w:trHeight w:val="360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 xml:space="preserve">(Goodwill divided between </w:t>
            </w:r>
            <w:proofErr w:type="spellStart"/>
            <w:r>
              <w:rPr>
                <w:rFonts w:ascii="Arial" w:hAnsi="Arial" w:cs="Arial"/>
                <w:color w:val="0B0B0B"/>
                <w:sz w:val="20"/>
                <w:szCs w:val="20"/>
              </w:rPr>
              <w:t>Suhani</w:t>
            </w:r>
            <w:proofErr w:type="spellEnd"/>
            <w:r>
              <w:rPr>
                <w:rFonts w:ascii="Arial" w:hAnsi="Arial" w:cs="Arial"/>
                <w:color w:val="0B0B0B"/>
                <w:sz w:val="20"/>
                <w:szCs w:val="20"/>
              </w:rPr>
              <w:t xml:space="preserve"> and Sonia in sacrificing ratio 3:2)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</w:tr>
      <w:tr w:rsidR="00CD44A9" w:rsidTr="00CD44A9">
        <w:trPr>
          <w:trHeight w:val="360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April 01</w:t>
            </w: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Revaluation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2000</w:t>
            </w: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</w:tr>
      <w:tr w:rsidR="00CD44A9" w:rsidTr="00CD44A9">
        <w:trPr>
          <w:trHeight w:val="360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 To Stock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2000</w:t>
            </w:r>
          </w:p>
        </w:tc>
      </w:tr>
      <w:tr w:rsidR="00CD44A9" w:rsidTr="00CD44A9">
        <w:trPr>
          <w:trHeight w:val="70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 (Revaluation in the value of assets )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April 01</w:t>
            </w: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Revaluation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5000</w:t>
            </w: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To Furniture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5000</w:t>
            </w: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(Revaluation in the value of assets)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April 01</w:t>
            </w: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Revaluation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1000</w:t>
            </w: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To Provision for Doubtful Debt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1000</w:t>
            </w: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(Revaluation in the value of assets)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April 01</w:t>
            </w: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Plant and Machinery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3000</w:t>
            </w: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 Investment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5000</w:t>
            </w: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To Revaluation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8000</w:t>
            </w: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(Increase in the value of assets on revaluation)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April 01</w:t>
            </w: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Revaluation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1000</w:t>
            </w: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To Outstanding Electricity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1000</w:t>
            </w: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(Amount provided for outstanding electricity bill)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April 01</w:t>
            </w: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Sundry Creditors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2000</w:t>
            </w: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To Revaluation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2000</w:t>
            </w: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(Amount not likely to be claimed by the creditors written off)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April 01</w:t>
            </w: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Revaluation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Dr.</w:t>
            </w: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1000</w:t>
            </w: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color w:val="0B0B0B"/>
                <w:sz w:val="20"/>
                <w:szCs w:val="20"/>
              </w:rPr>
              <w:t>Suhani’s</w:t>
            </w:r>
            <w:proofErr w:type="spellEnd"/>
            <w:r>
              <w:rPr>
                <w:rFonts w:ascii="Arial" w:hAnsi="Arial" w:cs="Arial"/>
                <w:color w:val="0B0B0B"/>
                <w:sz w:val="20"/>
                <w:szCs w:val="20"/>
              </w:rPr>
              <w:t xml:space="preserve"> Capital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600</w:t>
            </w: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To Sonia’s Capital A/c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400</w:t>
            </w:r>
          </w:p>
        </w:tc>
      </w:tr>
      <w:tr w:rsidR="00CD44A9" w:rsidTr="00CD44A9">
        <w:trPr>
          <w:trHeight w:val="135"/>
          <w:tblCellSpacing w:w="15" w:type="dxa"/>
        </w:trPr>
        <w:tc>
          <w:tcPr>
            <w:tcW w:w="124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448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 w:line="135" w:lineRule="atLeast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 xml:space="preserve">(Profit on revaluation of assets and re-assessment of liabilities transferred to </w:t>
            </w:r>
            <w:proofErr w:type="spellStart"/>
            <w:r>
              <w:rPr>
                <w:rFonts w:ascii="Arial" w:hAnsi="Arial" w:cs="Arial"/>
                <w:color w:val="0B0B0B"/>
                <w:sz w:val="20"/>
                <w:szCs w:val="20"/>
              </w:rPr>
              <w:t>Suhani</w:t>
            </w:r>
            <w:proofErr w:type="spellEnd"/>
            <w:r>
              <w:rPr>
                <w:rFonts w:ascii="Arial" w:hAnsi="Arial" w:cs="Arial"/>
                <w:color w:val="0B0B0B"/>
                <w:sz w:val="20"/>
                <w:szCs w:val="20"/>
              </w:rPr>
              <w:t xml:space="preserve"> and Sonia in old profit sharing ratio)</w:t>
            </w:r>
          </w:p>
        </w:tc>
        <w:tc>
          <w:tcPr>
            <w:tcW w:w="6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8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  <w:tc>
          <w:tcPr>
            <w:tcW w:w="18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14"/>
                <w:szCs w:val="20"/>
              </w:rPr>
            </w:pPr>
          </w:p>
        </w:tc>
      </w:tr>
    </w:tbl>
    <w:p w:rsidR="00CD44A9" w:rsidRDefault="00CD44A9" w:rsidP="00CD44A9">
      <w:pPr>
        <w:pStyle w:val="Heading4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Revaluation Account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0"/>
        <w:gridCol w:w="1920"/>
        <w:gridCol w:w="2910"/>
        <w:gridCol w:w="1950"/>
      </w:tblGrid>
      <w:tr w:rsidR="00CD44A9" w:rsidTr="00CD44A9">
        <w:trPr>
          <w:tblCellSpacing w:w="15" w:type="dxa"/>
        </w:trPr>
        <w:tc>
          <w:tcPr>
            <w:tcW w:w="289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Particulars</w:t>
            </w:r>
          </w:p>
        </w:tc>
        <w:tc>
          <w:tcPr>
            <w:tcW w:w="18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Amount (Rs.)</w:t>
            </w:r>
          </w:p>
        </w:tc>
        <w:tc>
          <w:tcPr>
            <w:tcW w:w="28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Particulars</w:t>
            </w:r>
          </w:p>
        </w:tc>
        <w:tc>
          <w:tcPr>
            <w:tcW w:w="190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Amount (Rs.)</w:t>
            </w:r>
          </w:p>
        </w:tc>
      </w:tr>
      <w:tr w:rsidR="00CD44A9" w:rsidTr="00CD44A9">
        <w:trPr>
          <w:tblCellSpacing w:w="15" w:type="dxa"/>
        </w:trPr>
        <w:tc>
          <w:tcPr>
            <w:tcW w:w="289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Stock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lastRenderedPageBreak/>
              <w:t>Furniture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t>Provision for Doubtful Debts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t>Outstanding electricity bill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t>Profit on Revaluation transferred to: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proofErr w:type="spellStart"/>
            <w:r>
              <w:rPr>
                <w:color w:val="0B0B0B"/>
                <w:spacing w:val="-3"/>
                <w:sz w:val="33"/>
                <w:szCs w:val="33"/>
              </w:rPr>
              <w:t>Suhani’s</w:t>
            </w:r>
            <w:proofErr w:type="spellEnd"/>
            <w:r>
              <w:rPr>
                <w:color w:val="0B0B0B"/>
                <w:spacing w:val="-3"/>
                <w:sz w:val="33"/>
                <w:szCs w:val="33"/>
              </w:rPr>
              <w:t xml:space="preserve"> Capital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t>Sonia’s Capital</w:t>
            </w:r>
          </w:p>
        </w:tc>
        <w:tc>
          <w:tcPr>
            <w:tcW w:w="18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2000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lastRenderedPageBreak/>
              <w:t>5000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t>1000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t>1000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t> 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t> 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t>600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t>400</w:t>
            </w:r>
          </w:p>
        </w:tc>
        <w:tc>
          <w:tcPr>
            <w:tcW w:w="28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Plant And Machinery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lastRenderedPageBreak/>
              <w:t>Investments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t>Sundry Creditors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t> </w:t>
            </w:r>
          </w:p>
        </w:tc>
        <w:tc>
          <w:tcPr>
            <w:tcW w:w="190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3000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lastRenderedPageBreak/>
              <w:t>5000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t>2000</w:t>
            </w:r>
          </w:p>
          <w:p w:rsidR="00CD44A9" w:rsidRDefault="00CD44A9">
            <w:pPr>
              <w:pStyle w:val="NormalWeb"/>
              <w:spacing w:before="150" w:beforeAutospacing="0" w:after="450" w:afterAutospacing="0"/>
              <w:rPr>
                <w:color w:val="0B0B0B"/>
                <w:spacing w:val="-3"/>
                <w:sz w:val="33"/>
                <w:szCs w:val="33"/>
              </w:rPr>
            </w:pPr>
            <w:r>
              <w:rPr>
                <w:color w:val="0B0B0B"/>
                <w:spacing w:val="-3"/>
                <w:sz w:val="33"/>
                <w:szCs w:val="33"/>
              </w:rPr>
              <w:t> </w:t>
            </w:r>
          </w:p>
        </w:tc>
      </w:tr>
      <w:tr w:rsidR="00CD44A9" w:rsidTr="00CD44A9">
        <w:trPr>
          <w:tblCellSpacing w:w="15" w:type="dxa"/>
        </w:trPr>
        <w:tc>
          <w:tcPr>
            <w:tcW w:w="289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  <w:u w:val="single"/>
              </w:rPr>
              <w:t>10000</w:t>
            </w:r>
          </w:p>
        </w:tc>
        <w:tc>
          <w:tcPr>
            <w:tcW w:w="28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 </w:t>
            </w:r>
          </w:p>
        </w:tc>
        <w:tc>
          <w:tcPr>
            <w:tcW w:w="190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  <w:u w:val="single"/>
              </w:rPr>
              <w:t>10000</w:t>
            </w:r>
          </w:p>
        </w:tc>
      </w:tr>
    </w:tbl>
    <w:p w:rsidR="00CD44A9" w:rsidRDefault="00CD44A9" w:rsidP="00CD44A9">
      <w:pPr>
        <w:pStyle w:val="NormalWeb"/>
        <w:shd w:val="clear" w:color="auto" w:fill="FFFFFF"/>
        <w:spacing w:before="150" w:beforeAutospacing="0" w:after="450" w:afterAutospacing="0"/>
        <w:rPr>
          <w:spacing w:val="-3"/>
          <w:sz w:val="33"/>
          <w:szCs w:val="33"/>
        </w:rPr>
      </w:pPr>
      <w:r>
        <w:rPr>
          <w:spacing w:val="-3"/>
          <w:sz w:val="33"/>
          <w:szCs w:val="33"/>
        </w:rPr>
        <w:t> </w:t>
      </w:r>
    </w:p>
    <w:p w:rsidR="00CD44A9" w:rsidRDefault="00CD44A9" w:rsidP="00CD44A9">
      <w:pPr>
        <w:pStyle w:val="Heading4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Partner’s Capital Accounts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"/>
        <w:gridCol w:w="1240"/>
        <w:gridCol w:w="971"/>
        <w:gridCol w:w="890"/>
        <w:gridCol w:w="1004"/>
        <w:gridCol w:w="807"/>
        <w:gridCol w:w="1257"/>
        <w:gridCol w:w="971"/>
        <w:gridCol w:w="890"/>
        <w:gridCol w:w="1019"/>
      </w:tblGrid>
      <w:tr w:rsidR="00CD44A9" w:rsidTr="00CD44A9">
        <w:trPr>
          <w:tblCellSpacing w:w="15" w:type="dxa"/>
        </w:trPr>
        <w:tc>
          <w:tcPr>
            <w:tcW w:w="6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Date 2018</w:t>
            </w:r>
          </w:p>
        </w:tc>
        <w:tc>
          <w:tcPr>
            <w:tcW w:w="14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Particulars</w:t>
            </w:r>
          </w:p>
        </w:tc>
        <w:tc>
          <w:tcPr>
            <w:tcW w:w="9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Suhani</w:t>
            </w:r>
            <w:proofErr w:type="spellEnd"/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Sonia</w:t>
            </w:r>
          </w:p>
        </w:tc>
        <w:tc>
          <w:tcPr>
            <w:tcW w:w="9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Keshav</w:t>
            </w:r>
            <w:proofErr w:type="spellEnd"/>
          </w:p>
        </w:tc>
        <w:tc>
          <w:tcPr>
            <w:tcW w:w="6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Date 2018</w:t>
            </w:r>
          </w:p>
        </w:tc>
        <w:tc>
          <w:tcPr>
            <w:tcW w:w="14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Particulars</w:t>
            </w:r>
          </w:p>
        </w:tc>
        <w:tc>
          <w:tcPr>
            <w:tcW w:w="9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Suhani</w:t>
            </w:r>
            <w:proofErr w:type="spellEnd"/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Sonia</w:t>
            </w:r>
          </w:p>
        </w:tc>
        <w:tc>
          <w:tcPr>
            <w:tcW w:w="9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Keshav</w:t>
            </w:r>
            <w:proofErr w:type="spellEnd"/>
          </w:p>
        </w:tc>
      </w:tr>
      <w:tr w:rsidR="00CD44A9" w:rsidTr="00CD44A9">
        <w:trPr>
          <w:tblCellSpacing w:w="15" w:type="dxa"/>
        </w:trPr>
        <w:tc>
          <w:tcPr>
            <w:tcW w:w="6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 xml:space="preserve">April </w:t>
            </w: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01</w:t>
            </w:r>
          </w:p>
        </w:tc>
        <w:tc>
          <w:tcPr>
            <w:tcW w:w="14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 xml:space="preserve">Balance </w:t>
            </w: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c/d</w:t>
            </w:r>
          </w:p>
        </w:tc>
        <w:tc>
          <w:tcPr>
            <w:tcW w:w="9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3360</w:t>
            </w: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224</w:t>
            </w: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00</w:t>
            </w:r>
          </w:p>
        </w:tc>
        <w:tc>
          <w:tcPr>
            <w:tcW w:w="9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1500</w:t>
            </w: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0</w:t>
            </w:r>
          </w:p>
        </w:tc>
        <w:tc>
          <w:tcPr>
            <w:tcW w:w="6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 xml:space="preserve">April </w:t>
            </w: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01</w:t>
            </w:r>
          </w:p>
        </w:tc>
        <w:tc>
          <w:tcPr>
            <w:tcW w:w="14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 xml:space="preserve">Balance </w:t>
            </w: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b/d</w:t>
            </w:r>
          </w:p>
        </w:tc>
        <w:tc>
          <w:tcPr>
            <w:tcW w:w="9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3000</w:t>
            </w: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200</w:t>
            </w:r>
            <w:r>
              <w:rPr>
                <w:rFonts w:ascii="Arial" w:hAnsi="Arial" w:cs="Arial"/>
                <w:color w:val="0B0B0B"/>
                <w:sz w:val="20"/>
                <w:szCs w:val="20"/>
              </w:rPr>
              <w:lastRenderedPageBreak/>
              <w:t>00</w:t>
            </w:r>
          </w:p>
        </w:tc>
        <w:tc>
          <w:tcPr>
            <w:tcW w:w="9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</w:tr>
      <w:tr w:rsidR="00CD44A9" w:rsidTr="00CD44A9">
        <w:trPr>
          <w:tblCellSpacing w:w="15" w:type="dxa"/>
        </w:trPr>
        <w:tc>
          <w:tcPr>
            <w:tcW w:w="6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Cash</w:t>
            </w:r>
          </w:p>
        </w:tc>
        <w:tc>
          <w:tcPr>
            <w:tcW w:w="9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15000</w:t>
            </w:r>
          </w:p>
        </w:tc>
      </w:tr>
      <w:tr w:rsidR="00CD44A9" w:rsidTr="00CD44A9">
        <w:trPr>
          <w:tblCellSpacing w:w="15" w:type="dxa"/>
        </w:trPr>
        <w:tc>
          <w:tcPr>
            <w:tcW w:w="6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Goodwill</w:t>
            </w:r>
          </w:p>
        </w:tc>
        <w:tc>
          <w:tcPr>
            <w:tcW w:w="9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3000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2000</w:t>
            </w:r>
          </w:p>
        </w:tc>
        <w:tc>
          <w:tcPr>
            <w:tcW w:w="9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</w:tr>
      <w:tr w:rsidR="00CD44A9" w:rsidTr="00CD44A9">
        <w:trPr>
          <w:tblCellSpacing w:w="15" w:type="dxa"/>
        </w:trPr>
        <w:tc>
          <w:tcPr>
            <w:tcW w:w="6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Revaluation (Profit)</w:t>
            </w:r>
          </w:p>
        </w:tc>
        <w:tc>
          <w:tcPr>
            <w:tcW w:w="9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600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400</w:t>
            </w:r>
          </w:p>
        </w:tc>
        <w:tc>
          <w:tcPr>
            <w:tcW w:w="9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</w:p>
        </w:tc>
      </w:tr>
      <w:tr w:rsidR="00CD44A9" w:rsidTr="00CD44A9">
        <w:trPr>
          <w:tblCellSpacing w:w="15" w:type="dxa"/>
        </w:trPr>
        <w:tc>
          <w:tcPr>
            <w:tcW w:w="6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  <w:u w:val="single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  <w:u w:val="single"/>
              </w:rPr>
              <w:t> </w:t>
            </w:r>
          </w:p>
        </w:tc>
        <w:tc>
          <w:tcPr>
            <w:tcW w:w="9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  <w:u w:val="single"/>
              </w:rPr>
              <w:t>33600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  <w:u w:val="single"/>
              </w:rPr>
              <w:t>22400</w:t>
            </w:r>
          </w:p>
        </w:tc>
        <w:tc>
          <w:tcPr>
            <w:tcW w:w="9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  <w:u w:val="single"/>
              </w:rPr>
              <w:t>15000</w:t>
            </w:r>
          </w:p>
        </w:tc>
        <w:tc>
          <w:tcPr>
            <w:tcW w:w="66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  <w:u w:val="single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  <w:u w:val="single"/>
              </w:rPr>
              <w:t> </w:t>
            </w:r>
          </w:p>
        </w:tc>
        <w:tc>
          <w:tcPr>
            <w:tcW w:w="9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  <w:u w:val="single"/>
              </w:rPr>
              <w:t>33600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  <w:u w:val="single"/>
              </w:rPr>
              <w:t>22400</w:t>
            </w:r>
          </w:p>
        </w:tc>
        <w:tc>
          <w:tcPr>
            <w:tcW w:w="93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D44A9" w:rsidRDefault="00CD44A9">
            <w:pPr>
              <w:spacing w:after="450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B0B0B"/>
                <w:sz w:val="20"/>
                <w:szCs w:val="20"/>
                <w:u w:val="single"/>
              </w:rPr>
              <w:t>15000</w:t>
            </w:r>
          </w:p>
        </w:tc>
      </w:tr>
    </w:tbl>
    <w:p w:rsidR="00284F40" w:rsidRDefault="00284F40"/>
    <w:sectPr w:rsidR="00284F40" w:rsidSect="0028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57A"/>
    <w:multiLevelType w:val="multilevel"/>
    <w:tmpl w:val="A674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6503B"/>
    <w:multiLevelType w:val="multilevel"/>
    <w:tmpl w:val="73A4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50D53"/>
    <w:multiLevelType w:val="multilevel"/>
    <w:tmpl w:val="E91C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1E5"/>
    <w:rsid w:val="00284F40"/>
    <w:rsid w:val="00375850"/>
    <w:rsid w:val="00CD44A9"/>
    <w:rsid w:val="00EC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40"/>
  </w:style>
  <w:style w:type="paragraph" w:styleId="Heading2">
    <w:name w:val="heading 2"/>
    <w:basedOn w:val="Normal"/>
    <w:link w:val="Heading2Char"/>
    <w:uiPriority w:val="9"/>
    <w:qFormat/>
    <w:rsid w:val="00CD4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4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D4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11E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44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44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D44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D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4A9"/>
    <w:rPr>
      <w:i/>
      <w:iCs/>
    </w:rPr>
  </w:style>
  <w:style w:type="character" w:styleId="Strong">
    <w:name w:val="Strong"/>
    <w:basedOn w:val="DefaultParagraphFont"/>
    <w:uiPriority w:val="22"/>
    <w:qFormat/>
    <w:rsid w:val="00CD44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pr.com/guides/principles-and-practices-of-accounting/basic-accounting-procedures/journal-and-journalising-proc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oppr.com/guides/accountancy/financial-statements/an-introduction-to-financial-state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839</Words>
  <Characters>4786</Characters>
  <Application>Microsoft Office Word</Application>
  <DocSecurity>0</DocSecurity>
  <Lines>39</Lines>
  <Paragraphs>11</Paragraphs>
  <ScaleCrop>false</ScaleCrop>
  <Company>Deftones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2019-07-08T11:20:00Z</dcterms:created>
  <dcterms:modified xsi:type="dcterms:W3CDTF">2019-07-08T11:20:00Z</dcterms:modified>
</cp:coreProperties>
</file>